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049D" w14:textId="77777777" w:rsidR="007053DF" w:rsidRPr="007053DF" w:rsidRDefault="007053DF" w:rsidP="007053DF">
      <w:pPr>
        <w:jc w:val="both"/>
        <w:rPr>
          <w:b/>
          <w:bCs/>
          <w:color w:val="0070C0"/>
          <w:sz w:val="40"/>
          <w:szCs w:val="40"/>
        </w:rPr>
      </w:pPr>
      <w:r w:rsidRPr="007053DF">
        <w:rPr>
          <w:b/>
          <w:bCs/>
          <w:color w:val="0070C0"/>
          <w:sz w:val="40"/>
          <w:szCs w:val="40"/>
        </w:rPr>
        <w:t xml:space="preserve">SCQF L 10 </w:t>
      </w:r>
    </w:p>
    <w:p w14:paraId="739256CB" w14:textId="0733DAB9" w:rsidR="009E5848" w:rsidRPr="009E5848" w:rsidRDefault="009E5848" w:rsidP="007053DF">
      <w:pPr>
        <w:ind w:right="491"/>
        <w:jc w:val="both"/>
      </w:pPr>
      <w:r w:rsidRPr="009E5848">
        <w:t xml:space="preserve">Job roles at SCQF Level 10 may involve providing advice and support in specialised technical or professional fields to whole organisations, </w:t>
      </w:r>
      <w:proofErr w:type="gramStart"/>
      <w:r w:rsidRPr="009E5848">
        <w:t>divisions</w:t>
      </w:r>
      <w:proofErr w:type="gramEnd"/>
      <w:r w:rsidRPr="009E5848">
        <w:t xml:space="preserve"> or large departments. Job holders may be required to set up and carry out research, make recommendations and design and carry out projects to improve processes and services. They may have some responsibility for maintaining or improving capacity within the organisation.</w:t>
      </w:r>
    </w:p>
    <w:p w14:paraId="5A1940B0" w14:textId="77777777" w:rsidR="007053DF" w:rsidRDefault="007053DF" w:rsidP="009E5848">
      <w:pPr>
        <w:rPr>
          <w:b/>
          <w:bCs/>
          <w:color w:val="0070C0"/>
        </w:rPr>
      </w:pPr>
    </w:p>
    <w:p w14:paraId="5E32377F" w14:textId="3737287E" w:rsidR="001806C2" w:rsidRPr="007053DF" w:rsidRDefault="009E5848" w:rsidP="009E5848">
      <w:pPr>
        <w:rPr>
          <w:b/>
          <w:bCs/>
          <w:color w:val="0070C0"/>
        </w:rPr>
      </w:pPr>
      <w:r w:rsidRPr="009E5848">
        <w:rPr>
          <w:b/>
          <w:bCs/>
          <w:color w:val="0070C0"/>
        </w:rPr>
        <w:t>REPRESENTATIVE COMPETENCIES OF JOB HOLDERS AT SCQF LEVEL 10</w:t>
      </w:r>
    </w:p>
    <w:tbl>
      <w:tblPr>
        <w:tblpPr w:leftFromText="180" w:rightFromText="180" w:vertAnchor="text" w:horzAnchor="page" w:tblpX="1414" w:tblpY="46"/>
        <w:tblW w:w="13747" w:type="dxa"/>
        <w:tblBorders>
          <w:top w:val="single" w:sz="6" w:space="0" w:color="C4C4C4"/>
          <w:left w:val="single" w:sz="6" w:space="0" w:color="C4C4C4"/>
          <w:bottom w:val="single" w:sz="2" w:space="0" w:color="C4C4C4"/>
          <w:right w:val="single" w:sz="2" w:space="0" w:color="C4C4C4"/>
        </w:tblBorders>
        <w:shd w:val="clear" w:color="auto" w:fill="EFEFEF"/>
        <w:tblCellMar>
          <w:top w:w="15" w:type="dxa"/>
          <w:left w:w="15" w:type="dxa"/>
          <w:bottom w:w="15" w:type="dxa"/>
          <w:right w:w="15" w:type="dxa"/>
        </w:tblCellMar>
        <w:tblLook w:val="04A0" w:firstRow="1" w:lastRow="0" w:firstColumn="1" w:lastColumn="0" w:noHBand="0" w:noVBand="1"/>
      </w:tblPr>
      <w:tblGrid>
        <w:gridCol w:w="1982"/>
        <w:gridCol w:w="11765"/>
      </w:tblGrid>
      <w:tr w:rsidR="001806C2" w:rsidRPr="009E5848" w14:paraId="3B79E7B4" w14:textId="77777777" w:rsidTr="007053DF">
        <w:trPr>
          <w:trHeight w:val="698"/>
        </w:trPr>
        <w:tc>
          <w:tcPr>
            <w:tcW w:w="1982"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63A39F0A" w14:textId="77777777" w:rsidR="001806C2" w:rsidRPr="009E5848" w:rsidRDefault="001806C2" w:rsidP="007053DF">
            <w:r w:rsidRPr="009E5848">
              <w:rPr>
                <w:b/>
                <w:bCs/>
              </w:rPr>
              <w:t>Scope of Work</w:t>
            </w:r>
          </w:p>
        </w:tc>
        <w:tc>
          <w:tcPr>
            <w:tcW w:w="11765"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17192A56" w14:textId="77777777" w:rsidR="001806C2" w:rsidRPr="009E5848" w:rsidRDefault="001806C2" w:rsidP="007053DF">
            <w:pPr>
              <w:ind w:right="2314"/>
            </w:pPr>
            <w:r w:rsidRPr="009E5848">
              <w:t>Works on complex professional-level problems and issues in a range of unpredictable contexts; manages work which involves complex ethical and professional issues.</w:t>
            </w:r>
          </w:p>
        </w:tc>
      </w:tr>
      <w:tr w:rsidR="001806C2" w:rsidRPr="009E5848" w14:paraId="0424DFC0" w14:textId="77777777" w:rsidTr="007053DF">
        <w:trPr>
          <w:trHeight w:val="656"/>
        </w:trPr>
        <w:tc>
          <w:tcPr>
            <w:tcW w:w="1982"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4EBAC2A6" w14:textId="77777777" w:rsidR="001806C2" w:rsidRPr="009E5848" w:rsidRDefault="001806C2" w:rsidP="007053DF">
            <w:r w:rsidRPr="009E5848">
              <w:rPr>
                <w:b/>
                <w:bCs/>
              </w:rPr>
              <w:t>Degree of Autonomy</w:t>
            </w:r>
          </w:p>
        </w:tc>
        <w:tc>
          <w:tcPr>
            <w:tcW w:w="11765"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6DCA4779" w14:textId="416289C7" w:rsidR="007053DF" w:rsidRPr="009E5848" w:rsidRDefault="001806C2" w:rsidP="007053DF">
            <w:r w:rsidRPr="009E5848">
              <w:t>Works autonomously and uses initiative in professional activities; exercises significant managerial responsibility for the work of others and for a range of resources</w:t>
            </w:r>
            <w:r w:rsidR="007053DF">
              <w:t>.</w:t>
            </w:r>
          </w:p>
        </w:tc>
      </w:tr>
      <w:tr w:rsidR="001806C2" w:rsidRPr="009E5848" w14:paraId="5A9CD11B" w14:textId="77777777" w:rsidTr="007053DF">
        <w:trPr>
          <w:trHeight w:val="255"/>
        </w:trPr>
        <w:tc>
          <w:tcPr>
            <w:tcW w:w="1982"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15A886B8" w14:textId="77777777" w:rsidR="001806C2" w:rsidRPr="009E5848" w:rsidRDefault="001806C2" w:rsidP="007053DF">
            <w:r w:rsidRPr="009E5848">
              <w:rPr>
                <w:b/>
                <w:bCs/>
              </w:rPr>
              <w:t>Processes</w:t>
            </w:r>
          </w:p>
        </w:tc>
        <w:tc>
          <w:tcPr>
            <w:tcW w:w="11765"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7D44FCA2" w14:textId="77777777" w:rsidR="001806C2" w:rsidRPr="009E5848" w:rsidRDefault="001806C2" w:rsidP="007053DF">
            <w:r w:rsidRPr="009E5848">
              <w:t>Identifies and analyses complex professional-level problems and issues; offers insights, interpretations and solutions to problems and issues which show some originality and creativity; uses a range of established techniques of enquiry or research.</w:t>
            </w:r>
          </w:p>
        </w:tc>
      </w:tr>
      <w:tr w:rsidR="001806C2" w:rsidRPr="009E5848" w14:paraId="55308F7E" w14:textId="77777777" w:rsidTr="007053DF">
        <w:trPr>
          <w:trHeight w:val="687"/>
        </w:trPr>
        <w:tc>
          <w:tcPr>
            <w:tcW w:w="1982"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4D0ED532" w14:textId="77777777" w:rsidR="001806C2" w:rsidRPr="009E5848" w:rsidRDefault="001806C2" w:rsidP="007053DF">
            <w:r w:rsidRPr="009E5848">
              <w:rPr>
                <w:b/>
                <w:bCs/>
              </w:rPr>
              <w:t>Contribution to Quality</w:t>
            </w:r>
          </w:p>
        </w:tc>
        <w:tc>
          <w:tcPr>
            <w:tcW w:w="11765"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4D15B794" w14:textId="77777777" w:rsidR="001806C2" w:rsidRPr="009E5848" w:rsidRDefault="001806C2" w:rsidP="007053DF">
            <w:r w:rsidRPr="009E5848">
              <w:t>Works under guidance in a peer relationship with specialist practitioners to bring about change, development and/or new thinking.</w:t>
            </w:r>
          </w:p>
        </w:tc>
      </w:tr>
      <w:tr w:rsidR="001806C2" w:rsidRPr="009E5848" w14:paraId="072FC382" w14:textId="77777777" w:rsidTr="007053DF">
        <w:trPr>
          <w:trHeight w:val="1320"/>
        </w:trPr>
        <w:tc>
          <w:tcPr>
            <w:tcW w:w="1982"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42FDAFBD" w14:textId="77777777" w:rsidR="001806C2" w:rsidRPr="009E5848" w:rsidRDefault="001806C2" w:rsidP="007053DF">
            <w:r w:rsidRPr="009E5848">
              <w:rPr>
                <w:b/>
                <w:bCs/>
              </w:rPr>
              <w:t>Skills</w:t>
            </w:r>
          </w:p>
        </w:tc>
        <w:tc>
          <w:tcPr>
            <w:tcW w:w="11765"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194BACC5" w14:textId="77777777" w:rsidR="001806C2" w:rsidRPr="009E5848" w:rsidRDefault="001806C2" w:rsidP="007053DF">
            <w:r w:rsidRPr="009E5848">
              <w:t>Uses a wide range of the principal professional skills, techniques, practices and/or materials associated with the sector, a few which are specialised, advanced and/or at the forefront of the sector.</w:t>
            </w:r>
          </w:p>
        </w:tc>
      </w:tr>
      <w:tr w:rsidR="001806C2" w:rsidRPr="009E5848" w14:paraId="7825D3F2" w14:textId="77777777" w:rsidTr="007053DF">
        <w:trPr>
          <w:trHeight w:val="980"/>
        </w:trPr>
        <w:tc>
          <w:tcPr>
            <w:tcW w:w="1982"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4E6BFFB5" w14:textId="77777777" w:rsidR="001806C2" w:rsidRPr="009E5848" w:rsidRDefault="001806C2" w:rsidP="007053DF">
            <w:r w:rsidRPr="009E5848">
              <w:rPr>
                <w:b/>
                <w:bCs/>
              </w:rPr>
              <w:lastRenderedPageBreak/>
              <w:t>Knowledge</w:t>
            </w:r>
          </w:p>
        </w:tc>
        <w:tc>
          <w:tcPr>
            <w:tcW w:w="11765" w:type="dxa"/>
            <w:tcBorders>
              <w:top w:val="single" w:sz="2" w:space="0" w:color="C4C4C4"/>
              <w:left w:val="single" w:sz="2" w:space="0" w:color="C4C4C4"/>
              <w:bottom w:val="single" w:sz="6" w:space="0" w:color="C4C4C4"/>
              <w:right w:val="single" w:sz="6" w:space="0" w:color="C4C4C4"/>
            </w:tcBorders>
            <w:shd w:val="clear" w:color="auto" w:fill="EBEBEB"/>
            <w:tcMar>
              <w:top w:w="150" w:type="dxa"/>
              <w:left w:w="150" w:type="dxa"/>
              <w:bottom w:w="150" w:type="dxa"/>
              <w:right w:w="150" w:type="dxa"/>
            </w:tcMar>
            <w:vAlign w:val="center"/>
            <w:hideMark/>
          </w:tcPr>
          <w:p w14:paraId="203DA669" w14:textId="77777777" w:rsidR="001806C2" w:rsidRPr="009E5848" w:rsidRDefault="001806C2" w:rsidP="007053DF">
            <w:r w:rsidRPr="009E5848">
              <w:t xml:space="preserve">Draws on knowledge that covers and brings together most of the principal areas, features, boundaries, </w:t>
            </w:r>
            <w:proofErr w:type="gramStart"/>
            <w:r w:rsidRPr="009E5848">
              <w:t>terminology</w:t>
            </w:r>
            <w:proofErr w:type="gramEnd"/>
            <w:r w:rsidRPr="009E5848">
              <w:t xml:space="preserve"> and conventions of work in a sector, including detailed knowledge and understanding in one or more specialisms some of which is at the forefront of developments in the sector.</w:t>
            </w:r>
          </w:p>
        </w:tc>
      </w:tr>
      <w:tr w:rsidR="001806C2" w:rsidRPr="009E5848" w14:paraId="3FF08421" w14:textId="77777777" w:rsidTr="007053DF">
        <w:trPr>
          <w:trHeight w:val="255"/>
        </w:trPr>
        <w:tc>
          <w:tcPr>
            <w:tcW w:w="1982"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5E40E7E5" w14:textId="77777777" w:rsidR="001806C2" w:rsidRPr="009E5848" w:rsidRDefault="001806C2" w:rsidP="007053DF">
            <w:r w:rsidRPr="009E5848">
              <w:rPr>
                <w:b/>
                <w:bCs/>
              </w:rPr>
              <w:t>Personal Development</w:t>
            </w:r>
          </w:p>
        </w:tc>
        <w:tc>
          <w:tcPr>
            <w:tcW w:w="11765" w:type="dxa"/>
            <w:tcBorders>
              <w:top w:val="single" w:sz="2" w:space="0" w:color="C4C4C4"/>
              <w:left w:val="single" w:sz="2" w:space="0" w:color="C4C4C4"/>
              <w:bottom w:val="single" w:sz="6" w:space="0" w:color="C4C4C4"/>
              <w:right w:val="single" w:sz="6" w:space="0" w:color="C4C4C4"/>
            </w:tcBorders>
            <w:shd w:val="clear" w:color="auto" w:fill="EFEFEF"/>
            <w:tcMar>
              <w:top w:w="150" w:type="dxa"/>
              <w:left w:w="150" w:type="dxa"/>
              <w:bottom w:w="150" w:type="dxa"/>
              <w:right w:w="150" w:type="dxa"/>
            </w:tcMar>
            <w:vAlign w:val="center"/>
            <w:hideMark/>
          </w:tcPr>
          <w:p w14:paraId="7B0D1521" w14:textId="77777777" w:rsidR="001806C2" w:rsidRPr="009E5848" w:rsidRDefault="001806C2" w:rsidP="007053DF">
            <w:r w:rsidRPr="009E5848">
              <w:t>Keeps abreast of forefront developments in a specialist area and in professional codes and practices.</w:t>
            </w:r>
          </w:p>
        </w:tc>
      </w:tr>
    </w:tbl>
    <w:p w14:paraId="46BE803F" w14:textId="77777777" w:rsidR="001806C2" w:rsidRPr="009E5848" w:rsidRDefault="001806C2" w:rsidP="009E5848">
      <w:pPr>
        <w:rPr>
          <w:b/>
          <w:bCs/>
        </w:rPr>
      </w:pPr>
    </w:p>
    <w:p w14:paraId="5AF29072" w14:textId="77777777" w:rsidR="009E5848" w:rsidRPr="009E5848" w:rsidRDefault="009E5848" w:rsidP="009E5848">
      <w:pPr>
        <w:rPr>
          <w:b/>
          <w:bCs/>
          <w:color w:val="0070C0"/>
        </w:rPr>
      </w:pPr>
      <w:r w:rsidRPr="009E5848">
        <w:rPr>
          <w:b/>
          <w:bCs/>
          <w:color w:val="0070C0"/>
        </w:rPr>
        <w:t>JOB ROLE</w:t>
      </w:r>
    </w:p>
    <w:p w14:paraId="269C5C41" w14:textId="77777777" w:rsidR="009E5848" w:rsidRPr="009E5848" w:rsidRDefault="009E5848" w:rsidP="009E5848">
      <w:pPr>
        <w:rPr>
          <w:b/>
          <w:bCs/>
          <w:color w:val="0070C0"/>
        </w:rPr>
      </w:pPr>
      <w:r w:rsidRPr="009E5848">
        <w:rPr>
          <w:b/>
          <w:bCs/>
          <w:color w:val="0070C0"/>
        </w:rPr>
        <w:t>REPRESENTATIVE RESPONSIBILITIES</w:t>
      </w:r>
    </w:p>
    <w:p w14:paraId="578BE03C" w14:textId="37F421CF" w:rsidR="009E5848" w:rsidRPr="009E5848" w:rsidRDefault="009E5848" w:rsidP="007053DF">
      <w:pPr>
        <w:jc w:val="both"/>
      </w:pPr>
      <w:r w:rsidRPr="009E5848">
        <w:t>Jobs at this level require the exercise of independence and initiative in relation to given responsibilities. The work could entail leading activities across work areas involving different specialisms. The job holder is likely to be expected to predict and deal with changing requirements and priorities. They may control assigned budgets. Some job holders may be more responsible for carrying out specialised research and analysis and advising senior managers than for managing teams.</w:t>
      </w:r>
    </w:p>
    <w:p w14:paraId="2C264799" w14:textId="77777777" w:rsidR="009E5848" w:rsidRPr="009E5848" w:rsidRDefault="009E5848" w:rsidP="009E5848">
      <w:pPr>
        <w:rPr>
          <w:b/>
          <w:bCs/>
          <w:color w:val="0070C0"/>
        </w:rPr>
      </w:pPr>
      <w:r w:rsidRPr="009E5848">
        <w:rPr>
          <w:b/>
          <w:bCs/>
          <w:color w:val="0070C0"/>
        </w:rPr>
        <w:t>REPRESENTATIVE TASKS AND DUTIES</w:t>
      </w:r>
    </w:p>
    <w:p w14:paraId="53957E57" w14:textId="77777777" w:rsidR="009E5848" w:rsidRPr="009E5848" w:rsidRDefault="009E5848" w:rsidP="007053DF">
      <w:pPr>
        <w:jc w:val="both"/>
      </w:pPr>
      <w:r w:rsidRPr="009E5848">
        <w:t>These may include:</w:t>
      </w:r>
    </w:p>
    <w:p w14:paraId="291CAD91" w14:textId="77777777" w:rsidR="009E5848" w:rsidRPr="009E5848" w:rsidRDefault="009E5848" w:rsidP="007053DF">
      <w:pPr>
        <w:numPr>
          <w:ilvl w:val="0"/>
          <w:numId w:val="1"/>
        </w:numPr>
        <w:jc w:val="both"/>
      </w:pPr>
      <w:r w:rsidRPr="009E5848">
        <w:t>undertaking long-term management of individual or team activities</w:t>
      </w:r>
    </w:p>
    <w:p w14:paraId="4C3B64F9" w14:textId="77777777" w:rsidR="009E5848" w:rsidRPr="009E5848" w:rsidRDefault="009E5848" w:rsidP="007053DF">
      <w:pPr>
        <w:numPr>
          <w:ilvl w:val="0"/>
          <w:numId w:val="1"/>
        </w:numPr>
        <w:jc w:val="both"/>
      </w:pPr>
      <w:r w:rsidRPr="009E5848">
        <w:t xml:space="preserve">supporting operational planning for a department, </w:t>
      </w:r>
      <w:proofErr w:type="gramStart"/>
      <w:r w:rsidRPr="009E5848">
        <w:t>division</w:t>
      </w:r>
      <w:proofErr w:type="gramEnd"/>
      <w:r w:rsidRPr="009E5848">
        <w:t xml:space="preserve"> or organisation</w:t>
      </w:r>
    </w:p>
    <w:p w14:paraId="1D9D815F" w14:textId="77777777" w:rsidR="009E5848" w:rsidRPr="009E5848" w:rsidRDefault="009E5848" w:rsidP="007053DF">
      <w:pPr>
        <w:numPr>
          <w:ilvl w:val="0"/>
          <w:numId w:val="1"/>
        </w:numPr>
        <w:jc w:val="both"/>
      </w:pPr>
      <w:r w:rsidRPr="009E5848">
        <w:t>managing resources/budgets within allocated project/area where appropriate to ensure proper and effective allocation</w:t>
      </w:r>
    </w:p>
    <w:p w14:paraId="3E78D5FB" w14:textId="77777777" w:rsidR="009E5848" w:rsidRPr="009E5848" w:rsidRDefault="009E5848" w:rsidP="007053DF">
      <w:pPr>
        <w:numPr>
          <w:ilvl w:val="0"/>
          <w:numId w:val="1"/>
        </w:numPr>
        <w:jc w:val="both"/>
      </w:pPr>
      <w:r w:rsidRPr="009E5848">
        <w:t>taking steps to improve the capability and expertise of team and/or self</w:t>
      </w:r>
    </w:p>
    <w:p w14:paraId="3CB5C810" w14:textId="77777777" w:rsidR="009E5848" w:rsidRPr="009E5848" w:rsidRDefault="009E5848" w:rsidP="007053DF">
      <w:pPr>
        <w:numPr>
          <w:ilvl w:val="0"/>
          <w:numId w:val="1"/>
        </w:numPr>
        <w:jc w:val="both"/>
      </w:pPr>
      <w:r w:rsidRPr="009E5848">
        <w:t>advising on the analysis and interpretation of data, identifying trends and testing solutions</w:t>
      </w:r>
    </w:p>
    <w:p w14:paraId="24C8EB66" w14:textId="77777777" w:rsidR="009E5848" w:rsidRPr="009E5848" w:rsidRDefault="009E5848" w:rsidP="007053DF">
      <w:pPr>
        <w:numPr>
          <w:ilvl w:val="0"/>
          <w:numId w:val="1"/>
        </w:numPr>
        <w:jc w:val="both"/>
      </w:pPr>
      <w:r w:rsidRPr="009E5848">
        <w:t>Identifying service requirements and designing the delivery of innovative approaches to optimise the efficiency and effectiveness of services</w:t>
      </w:r>
    </w:p>
    <w:p w14:paraId="4AFB7CE0" w14:textId="77777777" w:rsidR="009E5848" w:rsidRPr="009E5848" w:rsidRDefault="009E5848" w:rsidP="007053DF">
      <w:pPr>
        <w:numPr>
          <w:ilvl w:val="0"/>
          <w:numId w:val="1"/>
        </w:numPr>
        <w:jc w:val="both"/>
      </w:pPr>
      <w:r w:rsidRPr="009E5848">
        <w:t>ensuring that professional and/or service standards are maintained within an area of work or across areas</w:t>
      </w:r>
    </w:p>
    <w:p w14:paraId="6AA0E3FF" w14:textId="70FE6A68" w:rsidR="009E5848" w:rsidRPr="009E5848" w:rsidRDefault="009E5848" w:rsidP="009E5848">
      <w:pPr>
        <w:rPr>
          <w:color w:val="0070C0"/>
        </w:rPr>
      </w:pPr>
      <w:r w:rsidRPr="009E5848">
        <w:rPr>
          <w:b/>
          <w:bCs/>
          <w:color w:val="0070C0"/>
        </w:rPr>
        <w:lastRenderedPageBreak/>
        <w:t>KNOWLEDGE AND SKILLS</w:t>
      </w:r>
    </w:p>
    <w:p w14:paraId="3957AF7D" w14:textId="6B44FDC2" w:rsidR="009E5848" w:rsidRPr="009E5848" w:rsidRDefault="009E5848" w:rsidP="007053DF">
      <w:pPr>
        <w:jc w:val="both"/>
      </w:pPr>
      <w:r w:rsidRPr="009E5848">
        <w:t>Jobs at this level will require operational knowledge of systems and services in an area of work requiring a clear understanding of relevant regulations and codes of practice and the implications of non-compliance. Jobs may require skills in managing people and projects, planning (including financial planning) and capacity building.</w:t>
      </w:r>
    </w:p>
    <w:p w14:paraId="7779DF46" w14:textId="50C7DD8F" w:rsidR="009E5848" w:rsidRPr="009E5848" w:rsidRDefault="009E5848" w:rsidP="009E5848">
      <w:pPr>
        <w:rPr>
          <w:color w:val="0070C0"/>
        </w:rPr>
      </w:pPr>
      <w:r w:rsidRPr="009E5848">
        <w:rPr>
          <w:color w:val="0070C0"/>
        </w:rPr>
        <w:t> </w:t>
      </w:r>
      <w:r w:rsidRPr="009E5848">
        <w:rPr>
          <w:b/>
          <w:bCs/>
          <w:color w:val="0070C0"/>
        </w:rPr>
        <w:t>EXAMPLES OF QUALIFICATIONS AT SCQF LEVEL 10</w:t>
      </w:r>
    </w:p>
    <w:p w14:paraId="19777D56" w14:textId="77777777" w:rsidR="009E5848" w:rsidRPr="009E5848" w:rsidRDefault="009E5848" w:rsidP="007053DF">
      <w:pPr>
        <w:jc w:val="both"/>
      </w:pPr>
      <w:r w:rsidRPr="009E5848">
        <w:t>Honours Degree, Graduate Diploma, Graduate Certificate, Professional or Graduate Apprenticeship at SCQF Level 10, and a wide range of other courses available in the workplace and community (</w:t>
      </w:r>
      <w:hyperlink r:id="rId5" w:tooltip="SCQF Database" w:history="1">
        <w:r w:rsidRPr="009E5848">
          <w:rPr>
            <w:rStyle w:val="Hyperlink"/>
          </w:rPr>
          <w:t>see SCQF Database</w:t>
        </w:r>
      </w:hyperlink>
      <w:r w:rsidRPr="009E5848">
        <w:t>).</w:t>
      </w:r>
    </w:p>
    <w:p w14:paraId="7ED3914D" w14:textId="77777777" w:rsidR="00D73CAE" w:rsidRDefault="00D73CAE"/>
    <w:sectPr w:rsidR="00D73CAE" w:rsidSect="001806C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A5CE9"/>
    <w:multiLevelType w:val="multilevel"/>
    <w:tmpl w:val="299C8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651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848"/>
    <w:rsid w:val="001806C2"/>
    <w:rsid w:val="007053DF"/>
    <w:rsid w:val="009E5848"/>
    <w:rsid w:val="00D73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AD088"/>
  <w15:chartTrackingRefBased/>
  <w15:docId w15:val="{678BEDD5-8EC0-44DD-A022-84AB55624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848"/>
    <w:rPr>
      <w:color w:val="0563C1" w:themeColor="hyperlink"/>
      <w:u w:val="single"/>
    </w:rPr>
  </w:style>
  <w:style w:type="character" w:styleId="UnresolvedMention">
    <w:name w:val="Unresolved Mention"/>
    <w:basedOn w:val="DefaultParagraphFont"/>
    <w:uiPriority w:val="99"/>
    <w:semiHidden/>
    <w:unhideWhenUsed/>
    <w:rsid w:val="009E5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72534">
      <w:bodyDiv w:val="1"/>
      <w:marLeft w:val="0"/>
      <w:marRight w:val="0"/>
      <w:marTop w:val="0"/>
      <w:marBottom w:val="0"/>
      <w:divBdr>
        <w:top w:val="none" w:sz="0" w:space="0" w:color="auto"/>
        <w:left w:val="none" w:sz="0" w:space="0" w:color="auto"/>
        <w:bottom w:val="none" w:sz="0" w:space="0" w:color="auto"/>
        <w:right w:val="none" w:sz="0" w:space="0" w:color="auto"/>
      </w:divBdr>
      <w:divsChild>
        <w:div w:id="229075269">
          <w:marLeft w:val="0"/>
          <w:marRight w:val="0"/>
          <w:marTop w:val="0"/>
          <w:marBottom w:val="0"/>
          <w:divBdr>
            <w:top w:val="none" w:sz="0" w:space="0" w:color="auto"/>
            <w:left w:val="none" w:sz="0" w:space="0" w:color="auto"/>
            <w:bottom w:val="none" w:sz="0" w:space="0" w:color="auto"/>
            <w:right w:val="none" w:sz="0" w:space="0" w:color="auto"/>
          </w:divBdr>
        </w:div>
        <w:div w:id="1080172477">
          <w:marLeft w:val="0"/>
          <w:marRight w:val="0"/>
          <w:marTop w:val="0"/>
          <w:marBottom w:val="0"/>
          <w:divBdr>
            <w:top w:val="none" w:sz="0" w:space="0" w:color="auto"/>
            <w:left w:val="none" w:sz="0" w:space="0" w:color="auto"/>
            <w:bottom w:val="none" w:sz="0" w:space="0" w:color="auto"/>
            <w:right w:val="none" w:sz="0" w:space="0" w:color="auto"/>
          </w:divBdr>
        </w:div>
        <w:div w:id="812452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cqf.org.uk/about-the-framework/scqf-databa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 Endeacott</dc:creator>
  <cp:keywords/>
  <dc:description/>
  <cp:lastModifiedBy>Susannah Endeacott</cp:lastModifiedBy>
  <cp:revision>1</cp:revision>
  <dcterms:created xsi:type="dcterms:W3CDTF">2022-06-15T10:37:00Z</dcterms:created>
  <dcterms:modified xsi:type="dcterms:W3CDTF">2022-06-15T10:54:00Z</dcterms:modified>
</cp:coreProperties>
</file>